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C6" w:rsidRPr="00B86B1D" w:rsidRDefault="00CC35C6" w:rsidP="00CC35C6">
      <w:pPr>
        <w:ind w:left="5529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635A77">
        <w:rPr>
          <w:sz w:val="24"/>
          <w:szCs w:val="24"/>
        </w:rPr>
        <w:t xml:space="preserve"> 5</w:t>
      </w:r>
      <w:bookmarkStart w:id="0" w:name="_GoBack"/>
      <w:bookmarkEnd w:id="0"/>
      <w:r w:rsidRPr="00B86B1D">
        <w:rPr>
          <w:sz w:val="24"/>
          <w:szCs w:val="24"/>
        </w:rPr>
        <w:t xml:space="preserve"> </w:t>
      </w:r>
    </w:p>
    <w:p w:rsidR="00CC35C6" w:rsidRDefault="00CC35C6" w:rsidP="00CC35C6">
      <w:pPr>
        <w:ind w:left="5529"/>
        <w:rPr>
          <w:sz w:val="24"/>
          <w:szCs w:val="24"/>
        </w:rPr>
      </w:pPr>
      <w:r w:rsidRPr="00B86B1D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Звениговского</w:t>
      </w:r>
      <w:proofErr w:type="spellEnd"/>
      <w:r>
        <w:rPr>
          <w:sz w:val="24"/>
          <w:szCs w:val="24"/>
        </w:rPr>
        <w:t xml:space="preserve"> </w:t>
      </w:r>
      <w:r w:rsidRPr="00B86B1D">
        <w:rPr>
          <w:sz w:val="24"/>
          <w:szCs w:val="24"/>
        </w:rPr>
        <w:t>муниципального район</w:t>
      </w:r>
      <w:r>
        <w:rPr>
          <w:sz w:val="24"/>
          <w:szCs w:val="24"/>
        </w:rPr>
        <w:t>а Республики Марий Эл</w:t>
      </w:r>
      <w:r w:rsidRPr="00B86B1D">
        <w:rPr>
          <w:sz w:val="24"/>
          <w:szCs w:val="24"/>
        </w:rPr>
        <w:t xml:space="preserve"> </w:t>
      </w:r>
    </w:p>
    <w:p w:rsidR="00CC35C6" w:rsidRPr="00B86B1D" w:rsidRDefault="00CC35C6" w:rsidP="00CC35C6">
      <w:pPr>
        <w:ind w:left="5529"/>
        <w:rPr>
          <w:sz w:val="24"/>
          <w:szCs w:val="24"/>
        </w:rPr>
      </w:pPr>
      <w:r w:rsidRPr="00B86B1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______________2024 г. №_____</w:t>
      </w:r>
    </w:p>
    <w:p w:rsidR="00CC35C6" w:rsidRDefault="00CC35C6" w:rsidP="00CC35C6">
      <w:pPr>
        <w:jc w:val="right"/>
      </w:pPr>
    </w:p>
    <w:p w:rsidR="00CC35C6" w:rsidRPr="00D053E6" w:rsidRDefault="00CC35C6" w:rsidP="00CC35C6">
      <w:pPr>
        <w:jc w:val="right"/>
      </w:pPr>
    </w:p>
    <w:p w:rsidR="00CC35C6" w:rsidRPr="00E10C75" w:rsidRDefault="00CC35C6" w:rsidP="00CC35C6">
      <w:pPr>
        <w:jc w:val="center"/>
        <w:rPr>
          <w:b/>
          <w:szCs w:val="28"/>
        </w:rPr>
      </w:pPr>
      <w:r>
        <w:rPr>
          <w:b/>
          <w:szCs w:val="28"/>
        </w:rPr>
        <w:t>ПРОЕКТ АКТУЛИЗИРОВАННОЙ С</w:t>
      </w:r>
      <w:r w:rsidRPr="00E10C75">
        <w:rPr>
          <w:b/>
          <w:szCs w:val="28"/>
        </w:rPr>
        <w:t>ХЕМ</w:t>
      </w:r>
      <w:r>
        <w:rPr>
          <w:b/>
          <w:szCs w:val="28"/>
        </w:rPr>
        <w:t>Ы</w:t>
      </w:r>
      <w:r w:rsidRPr="00E10C75">
        <w:rPr>
          <w:b/>
          <w:szCs w:val="28"/>
        </w:rPr>
        <w:t xml:space="preserve"> ТЕПЛОСНАБЖЕНИЯ</w:t>
      </w:r>
    </w:p>
    <w:p w:rsidR="00CC35C6" w:rsidRDefault="00CC35C6" w:rsidP="00CC35C6">
      <w:pPr>
        <w:jc w:val="center"/>
        <w:rPr>
          <w:szCs w:val="28"/>
        </w:rPr>
      </w:pPr>
    </w:p>
    <w:p w:rsidR="00CC35C6" w:rsidRDefault="00CC35C6" w:rsidP="00CC35C6">
      <w:pPr>
        <w:jc w:val="center"/>
        <w:rPr>
          <w:szCs w:val="28"/>
        </w:rPr>
      </w:pPr>
      <w:r>
        <w:rPr>
          <w:szCs w:val="28"/>
        </w:rPr>
        <w:t>Красноярского</w:t>
      </w:r>
      <w:r w:rsidRPr="00E10C75">
        <w:rPr>
          <w:szCs w:val="28"/>
        </w:rPr>
        <w:t xml:space="preserve"> сельско</w:t>
      </w:r>
      <w:r>
        <w:rPr>
          <w:szCs w:val="28"/>
        </w:rPr>
        <w:t>го</w:t>
      </w:r>
      <w:r w:rsidRPr="00E10C75">
        <w:rPr>
          <w:szCs w:val="28"/>
        </w:rPr>
        <w:t xml:space="preserve"> поселени</w:t>
      </w:r>
      <w:r>
        <w:rPr>
          <w:szCs w:val="28"/>
        </w:rPr>
        <w:t>я</w:t>
      </w:r>
    </w:p>
    <w:p w:rsidR="00CC35C6" w:rsidRPr="00E10C75" w:rsidRDefault="00CC35C6" w:rsidP="00CC35C6">
      <w:pPr>
        <w:jc w:val="center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 Эл </w:t>
      </w:r>
    </w:p>
    <w:p w:rsidR="00CC35C6" w:rsidRDefault="00CC35C6" w:rsidP="00CC35C6">
      <w:pPr>
        <w:jc w:val="center"/>
        <w:rPr>
          <w:b/>
        </w:rPr>
      </w:pPr>
    </w:p>
    <w:p w:rsidR="00CC35C6" w:rsidRPr="0087663F" w:rsidRDefault="00CC35C6" w:rsidP="00CC35C6">
      <w:pPr>
        <w:jc w:val="center"/>
        <w:rPr>
          <w:b/>
        </w:rPr>
      </w:pPr>
      <w:r w:rsidRPr="0087663F">
        <w:rPr>
          <w:b/>
        </w:rPr>
        <w:t>1.</w:t>
      </w:r>
      <w:r>
        <w:t xml:space="preserve"> </w:t>
      </w:r>
      <w:r w:rsidRPr="0087663F">
        <w:rPr>
          <w:b/>
        </w:rPr>
        <w:t>Общие положения</w:t>
      </w:r>
    </w:p>
    <w:p w:rsidR="00CC35C6" w:rsidRDefault="00CC35C6" w:rsidP="00CC35C6">
      <w:pPr>
        <w:jc w:val="both"/>
      </w:pPr>
      <w:r>
        <w:t xml:space="preserve">       Схема теплоснабжения поселения –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 энергосбережения и повышения энергетической эффективности.</w:t>
      </w:r>
    </w:p>
    <w:p w:rsidR="00CC35C6" w:rsidRDefault="00CC35C6" w:rsidP="00CC35C6">
      <w:pPr>
        <w:jc w:val="both"/>
      </w:pPr>
      <w:r>
        <w:t xml:space="preserve">        Теплоснабжающая организация определяется схемой теплоснабжения. 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организации, как следствие, могут быть включены в соответствующий тариф организации коммунального комплекса.</w:t>
      </w:r>
    </w:p>
    <w:p w:rsidR="00CC35C6" w:rsidRDefault="00CC35C6" w:rsidP="00CC35C6">
      <w:pPr>
        <w:jc w:val="both"/>
      </w:pPr>
    </w:p>
    <w:p w:rsidR="00CC35C6" w:rsidRDefault="00CC35C6" w:rsidP="00CC35C6">
      <w:pPr>
        <w:jc w:val="center"/>
      </w:pPr>
      <w:r w:rsidRPr="0087663F">
        <w:rPr>
          <w:b/>
        </w:rPr>
        <w:t>2. О</w:t>
      </w:r>
      <w:r>
        <w:rPr>
          <w:b/>
        </w:rPr>
        <w:t xml:space="preserve">сновные цели и задачи схемы теплоснабжения </w:t>
      </w:r>
    </w:p>
    <w:p w:rsidR="00CC35C6" w:rsidRDefault="00CC35C6" w:rsidP="00CC35C6">
      <w:pPr>
        <w:jc w:val="both"/>
      </w:pPr>
      <w:r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C35C6" w:rsidRDefault="00CC35C6" w:rsidP="00CC35C6">
      <w:pPr>
        <w:jc w:val="both"/>
      </w:pPr>
      <w:r>
        <w:t>- повышение надежности работы систем теплоснабжения в соответствии  с нормативными требованиями;</w:t>
      </w:r>
    </w:p>
    <w:p w:rsidR="00CC35C6" w:rsidRDefault="00CC35C6" w:rsidP="00CC35C6">
      <w:pPr>
        <w:jc w:val="both"/>
      </w:pPr>
      <w:r>
        <w:t>- минимизация затрат на теплоснабжение в расчете на каждого потребителя в долгосрочной перспективе;</w:t>
      </w:r>
    </w:p>
    <w:p w:rsidR="00CC35C6" w:rsidRDefault="00CC35C6" w:rsidP="00CC35C6">
      <w:pPr>
        <w:jc w:val="both"/>
      </w:pPr>
      <w:r>
        <w:t>- обеспечение жителей Красноярского сельского поселения тепловой энергией;</w:t>
      </w:r>
    </w:p>
    <w:p w:rsidR="00CC35C6" w:rsidRPr="008C5C20" w:rsidRDefault="00CC35C6" w:rsidP="00CC35C6">
      <w:pPr>
        <w:jc w:val="both"/>
      </w:pPr>
      <w:r>
        <w:t>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CC35C6" w:rsidRPr="0087663F" w:rsidRDefault="00CC35C6" w:rsidP="00CC35C6">
      <w:pPr>
        <w:jc w:val="both"/>
        <w:rPr>
          <w:b/>
        </w:rPr>
      </w:pPr>
    </w:p>
    <w:p w:rsidR="00CC35C6" w:rsidRDefault="00CC35C6" w:rsidP="00CC35C6">
      <w:pPr>
        <w:jc w:val="center"/>
        <w:rPr>
          <w:b/>
        </w:rPr>
      </w:pPr>
      <w:r>
        <w:rPr>
          <w:b/>
        </w:rPr>
        <w:t>3. Схема теплоснабжения на период 2013-</w:t>
      </w:r>
      <w:smartTag w:uri="urn:schemas-microsoft-com:office:smarttags" w:element="metricconverter">
        <w:smartTagPr>
          <w:attr w:name="ProductID" w:val="2030 г"/>
        </w:smartTagPr>
        <w:r>
          <w:rPr>
            <w:b/>
          </w:rPr>
          <w:t>2030 г</w:t>
        </w:r>
      </w:smartTag>
      <w:r>
        <w:rPr>
          <w:b/>
        </w:rPr>
        <w:t>г.</w:t>
      </w:r>
    </w:p>
    <w:p w:rsidR="00CC35C6" w:rsidRDefault="00CC35C6" w:rsidP="00CC35C6">
      <w:pPr>
        <w:snapToGrid w:val="0"/>
        <w:ind w:left="-108" w:right="-13" w:firstLine="816"/>
        <w:jc w:val="both"/>
      </w:pPr>
      <w:r>
        <w:t xml:space="preserve">1. Красноярское сельское поселение входит в состав  муниципального  района и является одним из крупных  муниципальных образований. Площадь поселения на 01.11.2012г. – </w:t>
      </w:r>
      <w:r w:rsidRPr="004B4E17">
        <w:t>563,01</w:t>
      </w:r>
      <w:r>
        <w:t xml:space="preserve"> га. Располагается в 7 км от районного  центра г. Звенигово. В состав Красноярского сельского поселения входят 11 населенных пунктов: с. Красный Яр, д. </w:t>
      </w:r>
      <w:proofErr w:type="spellStart"/>
      <w:r>
        <w:t>Арзебеляк</w:t>
      </w:r>
      <w:proofErr w:type="spellEnd"/>
      <w:r>
        <w:t xml:space="preserve">, д. Большие </w:t>
      </w:r>
      <w:proofErr w:type="spellStart"/>
      <w:r>
        <w:t>Маламасы</w:t>
      </w:r>
      <w:proofErr w:type="spellEnd"/>
      <w:r>
        <w:t xml:space="preserve">, выселок Северный, д. Иркино, д. </w:t>
      </w:r>
      <w:proofErr w:type="spellStart"/>
      <w:r>
        <w:t>Кожла</w:t>
      </w:r>
      <w:proofErr w:type="spellEnd"/>
      <w:r>
        <w:t xml:space="preserve">, д. Малые </w:t>
      </w:r>
      <w:proofErr w:type="spellStart"/>
      <w:r>
        <w:t>Маламасы</w:t>
      </w:r>
      <w:proofErr w:type="spellEnd"/>
      <w:r>
        <w:t xml:space="preserve">, д. </w:t>
      </w:r>
      <w:proofErr w:type="spellStart"/>
      <w:r>
        <w:t>Сергушкино</w:t>
      </w:r>
      <w:proofErr w:type="spellEnd"/>
      <w:r>
        <w:t xml:space="preserve">, д. Сосновка, д. </w:t>
      </w:r>
      <w:proofErr w:type="spellStart"/>
      <w:r>
        <w:t>Торганово</w:t>
      </w:r>
      <w:proofErr w:type="spellEnd"/>
      <w:r>
        <w:t xml:space="preserve">, д. </w:t>
      </w:r>
      <w:proofErr w:type="spellStart"/>
      <w:r>
        <w:t>Шелангуш</w:t>
      </w:r>
      <w:proofErr w:type="spellEnd"/>
      <w:r>
        <w:t>. Административным центром является село Красный Яр. Численность поселения – 3451 человек, в том числе охвачено централизованным отоплением 398 человек.</w:t>
      </w:r>
    </w:p>
    <w:p w:rsidR="00CC35C6" w:rsidRDefault="00CC35C6" w:rsidP="00CC35C6">
      <w:pPr>
        <w:snapToGrid w:val="0"/>
        <w:ind w:left="-108" w:right="-13"/>
        <w:jc w:val="both"/>
      </w:pPr>
    </w:p>
    <w:p w:rsidR="00CC35C6" w:rsidRDefault="00CC35C6" w:rsidP="00CC35C6">
      <w:pPr>
        <w:snapToGrid w:val="0"/>
        <w:ind w:left="-108" w:right="-13"/>
        <w:jc w:val="both"/>
      </w:pPr>
    </w:p>
    <w:p w:rsidR="00CC35C6" w:rsidRDefault="00CC35C6" w:rsidP="00CC35C6">
      <w:pPr>
        <w:snapToGrid w:val="0"/>
        <w:ind w:left="-108" w:right="-13"/>
        <w:jc w:val="both"/>
        <w:sectPr w:rsidR="00CC35C6" w:rsidSect="00B86B1D">
          <w:headerReference w:type="default" r:id="rId7"/>
          <w:pgSz w:w="11906" w:h="16838"/>
          <w:pgMar w:top="425" w:right="567" w:bottom="425" w:left="1134" w:header="709" w:footer="709" w:gutter="0"/>
          <w:cols w:space="708"/>
          <w:docGrid w:linePitch="381"/>
        </w:sectPr>
      </w:pPr>
    </w:p>
    <w:p w:rsidR="00CC35C6" w:rsidRDefault="00CC35C6" w:rsidP="00CC35C6">
      <w:pPr>
        <w:snapToGrid w:val="0"/>
        <w:ind w:left="-108" w:right="-13"/>
        <w:jc w:val="both"/>
        <w:sectPr w:rsidR="00CC35C6" w:rsidSect="00B86B1D">
          <w:pgSz w:w="16838" w:h="11906" w:orient="landscape"/>
          <w:pgMar w:top="1134" w:right="425" w:bottom="567" w:left="425" w:header="709" w:footer="709" w:gutter="0"/>
          <w:cols w:space="708"/>
          <w:docGrid w:linePitch="381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8639175" cy="6477000"/>
            <wp:effectExtent l="0" t="0" r="9525" b="0"/>
            <wp:docPr id="1" name="Рисунок 1" descr="C:\Documents and Settings\Admin\Рабочий стол\IMG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IMG_0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C6" w:rsidRDefault="00CC35C6" w:rsidP="00CC35C6">
      <w:pPr>
        <w:jc w:val="both"/>
      </w:pPr>
      <w:r>
        <w:lastRenderedPageBreak/>
        <w:t xml:space="preserve">      В геоморфологическом отношении территория сельского поселения находится в пределах родниковых долин. По территории поселения протекает р. Волга.</w:t>
      </w:r>
    </w:p>
    <w:p w:rsidR="00CC35C6" w:rsidRDefault="00CC35C6" w:rsidP="00CC35C6">
      <w:pPr>
        <w:jc w:val="both"/>
      </w:pPr>
      <w:r>
        <w:t xml:space="preserve">      Климат умеренно-континентальный, характеризующийся избыточным увлажнением, с нежарким коротким летом и умеренно-холодной зимой. Расчетная температура для проектирования отопления – 33 С. Продолжительность отопительного периода – 220 дней.</w:t>
      </w:r>
    </w:p>
    <w:p w:rsidR="00CC35C6" w:rsidRDefault="00CC35C6" w:rsidP="00CC35C6">
      <w:pPr>
        <w:jc w:val="both"/>
      </w:pPr>
    </w:p>
    <w:p w:rsidR="00CC35C6" w:rsidRDefault="00CC35C6" w:rsidP="00CC35C6">
      <w:pPr>
        <w:jc w:val="both"/>
      </w:pPr>
      <w:r>
        <w:t>2.        Сведения о котельных по поселениям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560"/>
        <w:gridCol w:w="2294"/>
        <w:gridCol w:w="1766"/>
        <w:gridCol w:w="1815"/>
        <w:gridCol w:w="1684"/>
      </w:tblGrid>
      <w:tr w:rsidR="00CC35C6" w:rsidTr="005E278E">
        <w:tc>
          <w:tcPr>
            <w:tcW w:w="498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№</w:t>
            </w:r>
          </w:p>
        </w:tc>
        <w:tc>
          <w:tcPr>
            <w:tcW w:w="2072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Населенный пункт</w:t>
            </w:r>
          </w:p>
        </w:tc>
        <w:tc>
          <w:tcPr>
            <w:tcW w:w="2018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Наименование котельной и адрес</w:t>
            </w:r>
          </w:p>
        </w:tc>
        <w:tc>
          <w:tcPr>
            <w:tcW w:w="1766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Установленная мощность Гкал/час</w:t>
            </w:r>
          </w:p>
        </w:tc>
        <w:tc>
          <w:tcPr>
            <w:tcW w:w="1815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Протяженность теплосетей (м)</w:t>
            </w:r>
          </w:p>
        </w:tc>
        <w:tc>
          <w:tcPr>
            <w:tcW w:w="1684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Количество отапливаемых зданий</w:t>
            </w:r>
          </w:p>
        </w:tc>
      </w:tr>
      <w:tr w:rsidR="00CC35C6" w:rsidTr="005E278E">
        <w:tc>
          <w:tcPr>
            <w:tcW w:w="498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1</w:t>
            </w:r>
          </w:p>
        </w:tc>
        <w:tc>
          <w:tcPr>
            <w:tcW w:w="2072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D5DCD">
              <w:rPr>
                <w:sz w:val="24"/>
              </w:rPr>
              <w:t xml:space="preserve">. </w:t>
            </w:r>
            <w:r>
              <w:rPr>
                <w:sz w:val="24"/>
              </w:rPr>
              <w:t>Красный Яр</w:t>
            </w:r>
          </w:p>
        </w:tc>
        <w:tc>
          <w:tcPr>
            <w:tcW w:w="2018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A87875">
              <w:rPr>
                <w:sz w:val="24"/>
              </w:rPr>
              <w:t>Филиал ООО "</w:t>
            </w:r>
            <w:proofErr w:type="spellStart"/>
            <w:r w:rsidRPr="00A87875">
              <w:rPr>
                <w:sz w:val="24"/>
              </w:rPr>
              <w:t>Марикомунэнерго</w:t>
            </w:r>
            <w:proofErr w:type="spellEnd"/>
            <w:r w:rsidRPr="00A87875">
              <w:rPr>
                <w:sz w:val="24"/>
              </w:rPr>
              <w:t xml:space="preserve">" </w:t>
            </w:r>
            <w:proofErr w:type="spellStart"/>
            <w:r w:rsidRPr="00A87875">
              <w:rPr>
                <w:sz w:val="24"/>
              </w:rPr>
              <w:t>Звениговские</w:t>
            </w:r>
            <w:proofErr w:type="spellEnd"/>
            <w:r w:rsidRPr="00A87875">
              <w:rPr>
                <w:sz w:val="24"/>
              </w:rPr>
              <w:t xml:space="preserve"> тепловые сети котельная № 0605 с. Красный Яр</w:t>
            </w:r>
          </w:p>
        </w:tc>
        <w:tc>
          <w:tcPr>
            <w:tcW w:w="1766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A87875">
              <w:rPr>
                <w:sz w:val="24"/>
              </w:rPr>
              <w:t>2.64</w:t>
            </w:r>
          </w:p>
        </w:tc>
        <w:tc>
          <w:tcPr>
            <w:tcW w:w="1815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A87875">
              <w:rPr>
                <w:sz w:val="24"/>
              </w:rPr>
              <w:t>1101</w:t>
            </w:r>
            <w:r>
              <w:rPr>
                <w:sz w:val="24"/>
              </w:rPr>
              <w:t xml:space="preserve"> </w:t>
            </w:r>
            <w:r w:rsidRPr="003D5DCD">
              <w:rPr>
                <w:sz w:val="24"/>
              </w:rPr>
              <w:t>м</w:t>
            </w: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D5DCD">
              <w:rPr>
                <w:sz w:val="24"/>
              </w:rPr>
              <w:t>-х трубный</w:t>
            </w:r>
          </w:p>
        </w:tc>
        <w:tc>
          <w:tcPr>
            <w:tcW w:w="1684" w:type="dxa"/>
            <w:vAlign w:val="center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D5DCD">
              <w:rPr>
                <w:sz w:val="24"/>
              </w:rPr>
              <w:t>4</w:t>
            </w:r>
          </w:p>
        </w:tc>
      </w:tr>
    </w:tbl>
    <w:p w:rsidR="00CC35C6" w:rsidRDefault="00CC35C6" w:rsidP="00CC35C6">
      <w:pPr>
        <w:jc w:val="both"/>
      </w:pPr>
    </w:p>
    <w:p w:rsidR="00CC35C6" w:rsidRDefault="00CC35C6" w:rsidP="00CC35C6">
      <w:pPr>
        <w:jc w:val="both"/>
      </w:pPr>
      <w:r>
        <w:t xml:space="preserve">     </w:t>
      </w:r>
      <w:r>
        <w:tab/>
        <w:t>Теплоснабжение (отопление и горячее водоснабжение)  Красноярского сельского поселения осуществляется:</w:t>
      </w:r>
    </w:p>
    <w:p w:rsidR="00CC35C6" w:rsidRDefault="00CC35C6" w:rsidP="00CC35C6">
      <w:pPr>
        <w:ind w:firstLine="708"/>
        <w:jc w:val="both"/>
      </w:pPr>
      <w:r>
        <w:t>-  с. Красный Яр – многоквартирные жилые дома (2-х и 3-ти этажные), общеобразовательная школа, техникум, дом культуры, садик, врачебная амбулатория, ветеринарный участок.</w:t>
      </w:r>
    </w:p>
    <w:p w:rsidR="00CC35C6" w:rsidRDefault="00CC35C6" w:rsidP="00CC35C6">
      <w:pPr>
        <w:ind w:firstLine="708"/>
        <w:jc w:val="both"/>
        <w:rPr>
          <w:szCs w:val="28"/>
        </w:rPr>
      </w:pPr>
      <w:r>
        <w:rPr>
          <w:szCs w:val="28"/>
        </w:rPr>
        <w:t>2.1  На территории Красноярского сельского поселения применяется отопление жилых помещений в многоквартирных домах с использованием индивидуальных квартирных источников тепловой энергии:</w:t>
      </w:r>
    </w:p>
    <w:p w:rsidR="00CC35C6" w:rsidRDefault="00CC35C6" w:rsidP="00CC35C6">
      <w:pPr>
        <w:rPr>
          <w:szCs w:val="28"/>
        </w:rPr>
      </w:pPr>
    </w:p>
    <w:tbl>
      <w:tblPr>
        <w:tblW w:w="7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977"/>
        <w:gridCol w:w="1276"/>
        <w:gridCol w:w="1283"/>
      </w:tblGrid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b/>
                <w:color w:val="000000"/>
                <w:sz w:val="24"/>
              </w:rPr>
            </w:pPr>
            <w:r w:rsidRPr="004C1C5F">
              <w:rPr>
                <w:b/>
                <w:color w:val="000000"/>
                <w:sz w:val="24"/>
              </w:rPr>
              <w:t>Населенный  пункт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b/>
                <w:color w:val="000000"/>
                <w:sz w:val="24"/>
              </w:rPr>
            </w:pPr>
            <w:r w:rsidRPr="004C1C5F">
              <w:rPr>
                <w:b/>
                <w:color w:val="000000"/>
                <w:sz w:val="24"/>
              </w:rPr>
              <w:t>Улица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b/>
                <w:color w:val="000000"/>
                <w:sz w:val="24"/>
              </w:rPr>
            </w:pPr>
            <w:r w:rsidRPr="004C1C5F">
              <w:rPr>
                <w:b/>
                <w:color w:val="000000"/>
                <w:sz w:val="24"/>
              </w:rPr>
              <w:t>Дом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b/>
                <w:color w:val="000000"/>
                <w:sz w:val="24"/>
              </w:rPr>
            </w:pPr>
            <w:r w:rsidRPr="004C1C5F">
              <w:rPr>
                <w:b/>
                <w:color w:val="000000"/>
                <w:sz w:val="24"/>
              </w:rPr>
              <w:t>Квартира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13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10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10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13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lastRenderedPageBreak/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18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8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8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9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10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12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17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18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8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9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10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11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12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13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15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17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18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9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2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3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5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9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lastRenderedPageBreak/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10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11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12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13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14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15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16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17</w:t>
            </w:r>
          </w:p>
        </w:tc>
      </w:tr>
      <w:tr w:rsidR="00CC35C6" w:rsidRPr="004C1C5F" w:rsidTr="005E278E">
        <w:trPr>
          <w:trHeight w:val="300"/>
        </w:trPr>
        <w:tc>
          <w:tcPr>
            <w:tcW w:w="171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Красный Яр, с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 xml:space="preserve">Центральная, </w:t>
            </w:r>
            <w:proofErr w:type="spellStart"/>
            <w:r w:rsidRPr="004C1C5F">
              <w:rPr>
                <w:color w:val="000000"/>
                <w:sz w:val="24"/>
              </w:rPr>
              <w:t>ул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CC35C6" w:rsidRPr="004C1C5F" w:rsidRDefault="00CC35C6" w:rsidP="005E278E">
            <w:pPr>
              <w:rPr>
                <w:color w:val="000000"/>
                <w:sz w:val="24"/>
              </w:rPr>
            </w:pPr>
            <w:r w:rsidRPr="004C1C5F">
              <w:rPr>
                <w:color w:val="000000"/>
                <w:sz w:val="24"/>
              </w:rPr>
              <w:t>18</w:t>
            </w:r>
          </w:p>
        </w:tc>
      </w:tr>
    </w:tbl>
    <w:p w:rsidR="00CC35C6" w:rsidRDefault="00CC35C6" w:rsidP="00CC35C6">
      <w:pPr>
        <w:jc w:val="both"/>
      </w:pPr>
    </w:p>
    <w:p w:rsidR="00CC35C6" w:rsidRDefault="00CC35C6" w:rsidP="00CC35C6">
      <w:pPr>
        <w:ind w:firstLine="708"/>
        <w:jc w:val="both"/>
      </w:pPr>
      <w:r>
        <w:t>3. Население Красноярского сельского поселения на 21.05.2013г. составляет – 3451 человек, в том числе охвачено централизованным отоплением 398 человек. В перспективе до 2030 года прирост населения составит до 70 человек, т.е. увеличение населения не значительно. Так же не значительно изменяются площади населенных пунктов.</w:t>
      </w:r>
    </w:p>
    <w:p w:rsidR="00CC35C6" w:rsidRDefault="00CC35C6" w:rsidP="00CC35C6">
      <w:pPr>
        <w:jc w:val="both"/>
      </w:pPr>
      <w:r>
        <w:t xml:space="preserve">        Новые площади в населенных пунктах Генпланом не планируются. Под жилые зоны с перспективой строительства малоэтажных индивидуальных домов и снос ветхого жилья с перспективой строительства.</w:t>
      </w:r>
    </w:p>
    <w:p w:rsidR="00CC35C6" w:rsidRDefault="00CC35C6" w:rsidP="00CC35C6">
      <w:pPr>
        <w:jc w:val="both"/>
      </w:pPr>
      <w:r>
        <w:t xml:space="preserve">       Как центры обслуживания местных систем расселения, предполагается, в перспективе административный центр поселения должен располагать всеми учреждениями обслуживания населения, в том числе: административно-управленческими, общественно-деловыми и коммерческими, культурно-просветительскими объектами, объектами торговли, общественного питания, образования, здравоохранения, физкультурно-оздоровительными сооружениями.</w:t>
      </w:r>
    </w:p>
    <w:p w:rsidR="00CC35C6" w:rsidRDefault="00CC35C6" w:rsidP="00CC35C6">
      <w:pPr>
        <w:jc w:val="both"/>
      </w:pPr>
      <w:r>
        <w:t xml:space="preserve">        Село Красный Яр имеет в настоящее время  газо-, тепло-, электро-, и канализационные системы инженерного обеспечения. Остальные населенные пункты: газо- и </w:t>
      </w:r>
      <w:proofErr w:type="spellStart"/>
      <w:r>
        <w:t>электросистемы</w:t>
      </w:r>
      <w:proofErr w:type="spellEnd"/>
      <w:r>
        <w:t>.</w:t>
      </w:r>
    </w:p>
    <w:p w:rsidR="00CC35C6" w:rsidRDefault="00CC35C6" w:rsidP="00CC35C6">
      <w:pPr>
        <w:ind w:firstLine="708"/>
        <w:jc w:val="both"/>
      </w:pPr>
      <w:r>
        <w:t>4.  Объекты на территории Красноярского сельского поселения имеют преимущественно локальные системы инженерного обеспечения.</w:t>
      </w:r>
    </w:p>
    <w:p w:rsidR="00CC35C6" w:rsidRDefault="00CC35C6" w:rsidP="00CC35C6">
      <w:pPr>
        <w:ind w:firstLine="708"/>
        <w:jc w:val="both"/>
      </w:pPr>
      <w:r>
        <w:t>5.   Площадь строительных фондов и прирост площади строительных фондов, объемы потребления тепловой мощности по расчетным элементам по населенным пунктам, как в существующем положении, так и в перспективе с выделением первой очереди и к расчетному сроку приведено в таблице 1.</w:t>
      </w:r>
    </w:p>
    <w:p w:rsidR="00CC35C6" w:rsidRDefault="00CC35C6" w:rsidP="00CC35C6">
      <w:pPr>
        <w:jc w:val="both"/>
      </w:pPr>
      <w:r>
        <w:t xml:space="preserve"> </w:t>
      </w:r>
    </w:p>
    <w:p w:rsidR="00CC35C6" w:rsidRDefault="00CC35C6" w:rsidP="00CC35C6">
      <w:pPr>
        <w:jc w:val="both"/>
      </w:pPr>
      <w:r>
        <w:t>Таблица № 1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299"/>
        <w:gridCol w:w="1928"/>
        <w:gridCol w:w="1670"/>
        <w:gridCol w:w="1739"/>
      </w:tblGrid>
      <w:tr w:rsidR="00CC35C6" w:rsidTr="005E278E">
        <w:tc>
          <w:tcPr>
            <w:tcW w:w="528" w:type="dxa"/>
          </w:tcPr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№</w:t>
            </w:r>
          </w:p>
        </w:tc>
        <w:tc>
          <w:tcPr>
            <w:tcW w:w="3640" w:type="dxa"/>
          </w:tcPr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Наименование</w:t>
            </w:r>
          </w:p>
        </w:tc>
        <w:tc>
          <w:tcPr>
            <w:tcW w:w="1960" w:type="dxa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D5DCD">
              <w:rPr>
                <w:sz w:val="24"/>
              </w:rPr>
              <w:t>уществующее положение</w:t>
            </w: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2012 год</w:t>
            </w:r>
          </w:p>
        </w:tc>
        <w:tc>
          <w:tcPr>
            <w:tcW w:w="1820" w:type="dxa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Первая очередь</w:t>
            </w: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2015 год</w:t>
            </w:r>
          </w:p>
        </w:tc>
        <w:tc>
          <w:tcPr>
            <w:tcW w:w="1855" w:type="dxa"/>
          </w:tcPr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Расчетный срок</w:t>
            </w: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 w:rsidRPr="003D5DCD">
              <w:rPr>
                <w:sz w:val="24"/>
              </w:rPr>
              <w:t>2030 год</w:t>
            </w:r>
          </w:p>
        </w:tc>
      </w:tr>
      <w:tr w:rsidR="00CC35C6" w:rsidTr="005E278E">
        <w:tc>
          <w:tcPr>
            <w:tcW w:w="528" w:type="dxa"/>
          </w:tcPr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1</w:t>
            </w:r>
          </w:p>
        </w:tc>
        <w:tc>
          <w:tcPr>
            <w:tcW w:w="3640" w:type="dxa"/>
          </w:tcPr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 xml:space="preserve">Площадь строительных фондов кв. м в </w:t>
            </w:r>
            <w:proofErr w:type="spellStart"/>
            <w:r w:rsidRPr="003D5DCD">
              <w:rPr>
                <w:sz w:val="24"/>
              </w:rPr>
              <w:t>т.ч</w:t>
            </w:r>
            <w:proofErr w:type="spellEnd"/>
            <w:r w:rsidRPr="003D5DCD">
              <w:rPr>
                <w:sz w:val="24"/>
              </w:rPr>
              <w:t>.</w:t>
            </w:r>
          </w:p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- многоквартирные дома</w:t>
            </w:r>
          </w:p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- индивидуальный жилой фонд</w:t>
            </w:r>
          </w:p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- общественные здания</w:t>
            </w:r>
          </w:p>
        </w:tc>
        <w:tc>
          <w:tcPr>
            <w:tcW w:w="1960" w:type="dxa"/>
          </w:tcPr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5615,13</w:t>
            </w: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14881,97</w:t>
            </w:r>
          </w:p>
        </w:tc>
        <w:tc>
          <w:tcPr>
            <w:tcW w:w="1820" w:type="dxa"/>
          </w:tcPr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14881,97</w:t>
            </w:r>
          </w:p>
        </w:tc>
        <w:tc>
          <w:tcPr>
            <w:tcW w:w="1855" w:type="dxa"/>
          </w:tcPr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35C6" w:rsidTr="005E278E">
        <w:tc>
          <w:tcPr>
            <w:tcW w:w="528" w:type="dxa"/>
          </w:tcPr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lastRenderedPageBreak/>
              <w:t>2</w:t>
            </w:r>
          </w:p>
        </w:tc>
        <w:tc>
          <w:tcPr>
            <w:tcW w:w="3640" w:type="dxa"/>
          </w:tcPr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 xml:space="preserve">Объем потребления тепловой энергии Гкал/ч в </w:t>
            </w:r>
            <w:proofErr w:type="spellStart"/>
            <w:r w:rsidRPr="003D5DCD">
              <w:rPr>
                <w:sz w:val="24"/>
              </w:rPr>
              <w:t>т.ч</w:t>
            </w:r>
            <w:proofErr w:type="spellEnd"/>
            <w:r w:rsidRPr="003D5DCD">
              <w:rPr>
                <w:sz w:val="24"/>
              </w:rPr>
              <w:t>.</w:t>
            </w:r>
          </w:p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- многоквартирные дома</w:t>
            </w:r>
          </w:p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- индивидуальный жилой фонд</w:t>
            </w:r>
          </w:p>
          <w:p w:rsidR="00CC35C6" w:rsidRPr="003D5DCD" w:rsidRDefault="00CC35C6" w:rsidP="005E278E">
            <w:pPr>
              <w:jc w:val="both"/>
              <w:rPr>
                <w:sz w:val="24"/>
              </w:rPr>
            </w:pPr>
            <w:r w:rsidRPr="003D5DCD">
              <w:rPr>
                <w:sz w:val="24"/>
              </w:rPr>
              <w:t>- общественные здания</w:t>
            </w:r>
          </w:p>
        </w:tc>
        <w:tc>
          <w:tcPr>
            <w:tcW w:w="1960" w:type="dxa"/>
          </w:tcPr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0,7358</w:t>
            </w: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0,5550</w:t>
            </w:r>
          </w:p>
        </w:tc>
        <w:tc>
          <w:tcPr>
            <w:tcW w:w="1820" w:type="dxa"/>
          </w:tcPr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0,6437</w:t>
            </w: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0,5550</w:t>
            </w:r>
          </w:p>
        </w:tc>
        <w:tc>
          <w:tcPr>
            <w:tcW w:w="1855" w:type="dxa"/>
          </w:tcPr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CC35C6" w:rsidRDefault="00CC35C6" w:rsidP="005E278E">
            <w:pPr>
              <w:jc w:val="center"/>
              <w:rPr>
                <w:sz w:val="24"/>
              </w:rPr>
            </w:pPr>
          </w:p>
          <w:p w:rsidR="00CC35C6" w:rsidRPr="003D5DCD" w:rsidRDefault="00CC35C6" w:rsidP="005E27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C35C6" w:rsidRDefault="00CC35C6" w:rsidP="00CC35C6">
      <w:pPr>
        <w:jc w:val="both"/>
      </w:pPr>
      <w:r>
        <w:t xml:space="preserve">       </w:t>
      </w:r>
    </w:p>
    <w:p w:rsidR="00CC35C6" w:rsidRDefault="00CC35C6" w:rsidP="00CC35C6">
      <w:pPr>
        <w:ind w:firstLine="708"/>
        <w:jc w:val="both"/>
      </w:pPr>
      <w:r>
        <w:t xml:space="preserve"> В настоящее время установленная мощность котельной </w:t>
      </w:r>
      <w:r w:rsidRPr="00D02B27">
        <w:t>№ 0605</w:t>
      </w:r>
      <w:r>
        <w:t xml:space="preserve"> составляет 2.64 Гкал/час, перспективный объем потребления тепловой энергии до 2030 года составляет 0 Гкал/ч т.е. нет необходимости в расширении  и строительстве новых котельных.</w:t>
      </w:r>
    </w:p>
    <w:p w:rsidR="00CC35C6" w:rsidRDefault="00CC35C6" w:rsidP="00CC35C6">
      <w:pPr>
        <w:ind w:firstLine="708"/>
        <w:jc w:val="both"/>
      </w:pPr>
      <w:r>
        <w:t>6. В поселении теплоснабжение разделяется на две условные зоны – зона централизованного отопления и зона индивидуального отопления.</w:t>
      </w:r>
    </w:p>
    <w:p w:rsidR="00CC35C6" w:rsidRDefault="00CC35C6" w:rsidP="00CC35C6">
      <w:pPr>
        <w:jc w:val="both"/>
      </w:pPr>
      <w:r>
        <w:t xml:space="preserve">      </w:t>
      </w:r>
      <w:r>
        <w:tab/>
        <w:t>Зона централизованного отопления – растянута по селу Красный Яр по ул. Центральной по кругу, где расположены многоквартирные застройки и  общественные здания. На территории села расположены магазины, имеющие собственные котельные, работающие только на магазины.</w:t>
      </w:r>
    </w:p>
    <w:p w:rsidR="00CC35C6" w:rsidRDefault="00CC35C6" w:rsidP="00CC35C6">
      <w:pPr>
        <w:ind w:firstLine="708"/>
        <w:jc w:val="both"/>
      </w:pPr>
      <w:r>
        <w:t>7. В перспективе не предусматривается развитие многоквартирной застройки в центре с. Красный Яр. Для имеющихся объектов с системой централизованного теплоснабжения существующих мощностей котельных достаточно.</w:t>
      </w:r>
    </w:p>
    <w:p w:rsidR="00CC35C6" w:rsidRDefault="00CC35C6" w:rsidP="00CC35C6">
      <w:pPr>
        <w:jc w:val="both"/>
      </w:pPr>
      <w:r>
        <w:t xml:space="preserve">         Поэтому во всех населенных пунктах строительство новых котельных нецелесообразно.</w:t>
      </w:r>
    </w:p>
    <w:p w:rsidR="00CC35C6" w:rsidRDefault="00CC35C6" w:rsidP="00CC35C6">
      <w:pPr>
        <w:ind w:firstLine="708"/>
        <w:jc w:val="both"/>
      </w:pPr>
      <w:r>
        <w:t xml:space="preserve">8. По всем населенным пункта зоны индивидуального теплоснабжения – автономное газовое отопление в частных домах и </w:t>
      </w:r>
      <w:proofErr w:type="spellStart"/>
      <w:r>
        <w:t>котеджной</w:t>
      </w:r>
      <w:proofErr w:type="spellEnd"/>
      <w:r>
        <w:t xml:space="preserve"> застройки. В перспективе генпланом предусматривается развитие частной индивидуальной застройки в следующих населенных пунктах:  д. </w:t>
      </w:r>
      <w:proofErr w:type="spellStart"/>
      <w:r>
        <w:t>Сергушкино</w:t>
      </w:r>
      <w:proofErr w:type="spellEnd"/>
      <w:r>
        <w:t>.</w:t>
      </w:r>
    </w:p>
    <w:p w:rsidR="00CC35C6" w:rsidRDefault="00CC35C6" w:rsidP="00CC35C6">
      <w:pPr>
        <w:ind w:firstLine="708"/>
        <w:jc w:val="both"/>
      </w:pPr>
      <w:r>
        <w:t>9. Существующая схема тепловых сетей и систем теплоснабжения является оптимальной для поселения ввиду не протяженности магистрали, доступности к ревизии и ремонту.</w:t>
      </w:r>
    </w:p>
    <w:p w:rsidR="00CC35C6" w:rsidRDefault="00CC35C6" w:rsidP="00CC35C6">
      <w:pPr>
        <w:jc w:val="both"/>
      </w:pPr>
      <w:r>
        <w:t xml:space="preserve">         Трассировка и способ прокладки магистральных тепловых сетей осуществляется поверхностно с использованием теплозащитных материалов и подземными трубопроводами.</w:t>
      </w:r>
    </w:p>
    <w:p w:rsidR="00CC35C6" w:rsidRPr="00E1672B" w:rsidRDefault="00CC35C6" w:rsidP="00CC35C6">
      <w:pPr>
        <w:ind w:firstLine="708"/>
        <w:jc w:val="both"/>
      </w:pPr>
      <w:r>
        <w:t>10. Мероприятия инвестиционной программы по схемам теплоснабжения Красноярского сельского поселения не планируются.</w:t>
      </w:r>
    </w:p>
    <w:p w:rsidR="008B2992" w:rsidRDefault="008B2992"/>
    <w:sectPr w:rsidR="008B2992" w:rsidSect="00CC35C6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B1" w:rsidRDefault="007675B1" w:rsidP="00CC35C6">
      <w:r>
        <w:separator/>
      </w:r>
    </w:p>
  </w:endnote>
  <w:endnote w:type="continuationSeparator" w:id="0">
    <w:p w:rsidR="007675B1" w:rsidRDefault="007675B1" w:rsidP="00CC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B1" w:rsidRDefault="007675B1" w:rsidP="00CC35C6">
      <w:r>
        <w:separator/>
      </w:r>
    </w:p>
  </w:footnote>
  <w:footnote w:type="continuationSeparator" w:id="0">
    <w:p w:rsidR="007675B1" w:rsidRDefault="007675B1" w:rsidP="00CC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797978"/>
      <w:docPartObj>
        <w:docPartGallery w:val="Page Numbers (Top of Page)"/>
        <w:docPartUnique/>
      </w:docPartObj>
    </w:sdtPr>
    <w:sdtEndPr/>
    <w:sdtContent>
      <w:p w:rsidR="00CC35C6" w:rsidRDefault="00CC35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77">
          <w:rPr>
            <w:noProof/>
          </w:rPr>
          <w:t>1</w:t>
        </w:r>
        <w:r>
          <w:fldChar w:fldCharType="end"/>
        </w:r>
      </w:p>
    </w:sdtContent>
  </w:sdt>
  <w:p w:rsidR="00CC35C6" w:rsidRDefault="00CC35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52"/>
    <w:rsid w:val="00114D52"/>
    <w:rsid w:val="00635A77"/>
    <w:rsid w:val="007675B1"/>
    <w:rsid w:val="008B2992"/>
    <w:rsid w:val="00C93CFD"/>
    <w:rsid w:val="00C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5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CC3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5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C3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5C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5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CC3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5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C35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5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2024-07-29T13:46:00Z</dcterms:created>
  <dcterms:modified xsi:type="dcterms:W3CDTF">2024-07-30T12:46:00Z</dcterms:modified>
</cp:coreProperties>
</file>